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4B" w:rsidRPr="003A3893" w:rsidRDefault="0020144B" w:rsidP="0020144B">
      <w:pPr>
        <w:jc w:val="right"/>
      </w:pPr>
      <w:r w:rsidRPr="00A735E1">
        <w:t>Приложение 1</w:t>
      </w:r>
      <w:r w:rsidR="00A96678">
        <w:t>3</w:t>
      </w:r>
    </w:p>
    <w:tbl>
      <w:tblPr>
        <w:tblW w:w="10363" w:type="dxa"/>
        <w:tblInd w:w="93" w:type="dxa"/>
        <w:tblLook w:val="04A0"/>
      </w:tblPr>
      <w:tblGrid>
        <w:gridCol w:w="222"/>
        <w:gridCol w:w="10141"/>
      </w:tblGrid>
      <w:tr w:rsidR="0020144B" w:rsidRPr="003A3893" w:rsidTr="0046100D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44B" w:rsidRPr="00CD617F" w:rsidRDefault="0020144B" w:rsidP="0046100D">
            <w:pPr>
              <w:jc w:val="right"/>
            </w:pPr>
            <w:r w:rsidRPr="00CD617F">
              <w:t>к Решению Собрания депутатов Аксайского района</w:t>
            </w:r>
          </w:p>
        </w:tc>
      </w:tr>
      <w:tr w:rsidR="0020144B" w:rsidRPr="003A3893" w:rsidTr="0046100D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44B" w:rsidRDefault="0020144B" w:rsidP="0046100D">
            <w:pPr>
              <w:jc w:val="right"/>
            </w:pPr>
            <w:r w:rsidRPr="00CD617F">
              <w:t xml:space="preserve"> «</w:t>
            </w:r>
            <w:r w:rsidRPr="00353140">
              <w:t>О проекте решения</w:t>
            </w:r>
            <w:r>
              <w:t xml:space="preserve"> Собрания депутатов</w:t>
            </w:r>
            <w:r w:rsidRPr="00CD617F">
              <w:t xml:space="preserve"> Аксайского района</w:t>
            </w:r>
          </w:p>
          <w:p w:rsidR="0020144B" w:rsidRPr="00CD617F" w:rsidRDefault="0020144B" w:rsidP="0020144B">
            <w:pPr>
              <w:jc w:val="right"/>
            </w:pPr>
            <w:r>
              <w:t>«О бюджете Аксайского района</w:t>
            </w:r>
            <w:r w:rsidRPr="00CD617F">
              <w:t xml:space="preserve"> на 20</w:t>
            </w:r>
            <w:r>
              <w:t xml:space="preserve">25 </w:t>
            </w:r>
            <w:r w:rsidRPr="00CD617F">
              <w:t>год и</w:t>
            </w:r>
          </w:p>
        </w:tc>
      </w:tr>
      <w:tr w:rsidR="0020144B" w:rsidRPr="003A3893" w:rsidTr="0046100D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44B" w:rsidRPr="00CD617F" w:rsidRDefault="0020144B" w:rsidP="0046100D">
            <w:pPr>
              <w:jc w:val="right"/>
            </w:pPr>
            <w:r w:rsidRPr="00CD617F">
              <w:t>на плановый период 202</w:t>
            </w:r>
            <w:r>
              <w:t>6</w:t>
            </w:r>
            <w:r w:rsidRPr="00CD617F">
              <w:t xml:space="preserve"> и 202</w:t>
            </w:r>
            <w:r>
              <w:t>7</w:t>
            </w:r>
            <w:r w:rsidRPr="00CD617F">
              <w:t xml:space="preserve"> годов»</w:t>
            </w:r>
          </w:p>
        </w:tc>
      </w:tr>
      <w:tr w:rsidR="0020144B" w:rsidRPr="003A3893" w:rsidTr="0046100D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44B" w:rsidRPr="003A3893" w:rsidRDefault="0020144B" w:rsidP="0046100D">
            <w:pPr>
              <w:jc w:val="right"/>
            </w:pPr>
          </w:p>
        </w:tc>
        <w:tc>
          <w:tcPr>
            <w:tcW w:w="10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44B" w:rsidRPr="003A3893" w:rsidRDefault="0020144B" w:rsidP="0046100D">
            <w:pPr>
              <w:jc w:val="right"/>
            </w:pPr>
            <w:r w:rsidRPr="003A3893">
              <w:t xml:space="preserve"> </w:t>
            </w:r>
          </w:p>
        </w:tc>
      </w:tr>
    </w:tbl>
    <w:p w:rsidR="0020144B" w:rsidRPr="003A3893" w:rsidRDefault="0020144B" w:rsidP="0020144B">
      <w:pPr>
        <w:jc w:val="center"/>
        <w:rPr>
          <w:b/>
        </w:rPr>
      </w:pP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Программа</w:t>
      </w: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муниципальных внутренних заимствований</w:t>
      </w: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Аксайского района на 202</w:t>
      </w:r>
      <w:r>
        <w:rPr>
          <w:b/>
          <w:sz w:val="28"/>
          <w:szCs w:val="28"/>
        </w:rPr>
        <w:t>5</w:t>
      </w:r>
      <w:r w:rsidRPr="004A6D08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6</w:t>
      </w:r>
      <w:r w:rsidRPr="004A6D0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4A6D08">
        <w:rPr>
          <w:b/>
          <w:sz w:val="28"/>
          <w:szCs w:val="28"/>
        </w:rPr>
        <w:t xml:space="preserve"> годов</w:t>
      </w: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1. Муниципальные внутренние заимствования</w:t>
      </w: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Аксайского района на 202</w:t>
      </w:r>
      <w:r>
        <w:rPr>
          <w:b/>
          <w:sz w:val="28"/>
          <w:szCs w:val="28"/>
        </w:rPr>
        <w:t>5</w:t>
      </w:r>
      <w:r w:rsidRPr="004A6D08">
        <w:rPr>
          <w:b/>
          <w:sz w:val="28"/>
          <w:szCs w:val="28"/>
        </w:rPr>
        <w:t xml:space="preserve"> год</w:t>
      </w:r>
    </w:p>
    <w:p w:rsidR="0020144B" w:rsidRPr="003A3893" w:rsidRDefault="0020144B" w:rsidP="0020144B">
      <w:pPr>
        <w:spacing w:after="120"/>
        <w:jc w:val="right"/>
      </w:pPr>
      <w:r w:rsidRPr="003A3893">
        <w:t>(тыс. руб.)</w:t>
      </w:r>
    </w:p>
    <w:tbl>
      <w:tblPr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6"/>
        <w:gridCol w:w="1477"/>
        <w:gridCol w:w="1567"/>
      </w:tblGrid>
      <w:tr w:rsidR="0020144B" w:rsidRPr="003A3893" w:rsidTr="0046100D">
        <w:tc>
          <w:tcPr>
            <w:tcW w:w="3514" w:type="pct"/>
            <w:vAlign w:val="center"/>
          </w:tcPr>
          <w:p w:rsidR="0020144B" w:rsidRPr="003A3893" w:rsidRDefault="0020144B" w:rsidP="0046100D">
            <w:pPr>
              <w:spacing w:before="60" w:after="60"/>
              <w:jc w:val="center"/>
            </w:pPr>
            <w:r w:rsidRPr="003A3893">
              <w:t>Вид заимствования</w:t>
            </w:r>
          </w:p>
        </w:tc>
        <w:tc>
          <w:tcPr>
            <w:tcW w:w="721" w:type="pct"/>
            <w:vAlign w:val="center"/>
          </w:tcPr>
          <w:p w:rsidR="0020144B" w:rsidRPr="003A3893" w:rsidRDefault="0020144B" w:rsidP="0046100D">
            <w:pPr>
              <w:spacing w:before="60" w:after="60"/>
              <w:jc w:val="center"/>
            </w:pPr>
            <w:r w:rsidRPr="003A3893">
              <w:t xml:space="preserve">Сумма </w:t>
            </w:r>
          </w:p>
        </w:tc>
        <w:tc>
          <w:tcPr>
            <w:tcW w:w="765" w:type="pct"/>
          </w:tcPr>
          <w:p w:rsidR="0020144B" w:rsidRDefault="0020144B" w:rsidP="0046100D">
            <w:pPr>
              <w:spacing w:before="60" w:after="60"/>
              <w:jc w:val="center"/>
            </w:pPr>
            <w:r>
              <w:t xml:space="preserve">Предельные </w:t>
            </w:r>
          </w:p>
          <w:p w:rsidR="0020144B" w:rsidRDefault="0020144B" w:rsidP="0046100D">
            <w:pPr>
              <w:spacing w:before="60" w:after="60"/>
              <w:jc w:val="center"/>
            </w:pPr>
            <w:r>
              <w:t xml:space="preserve">сроки </w:t>
            </w:r>
          </w:p>
          <w:p w:rsidR="0020144B" w:rsidRPr="003A3893" w:rsidRDefault="0020144B" w:rsidP="0046100D">
            <w:pPr>
              <w:spacing w:before="60" w:after="60"/>
              <w:jc w:val="center"/>
            </w:pPr>
            <w:r>
              <w:t>погашения</w:t>
            </w:r>
          </w:p>
        </w:tc>
      </w:tr>
      <w:tr w:rsidR="0020144B" w:rsidRPr="00E556A1" w:rsidTr="0046100D">
        <w:trPr>
          <w:trHeight w:val="443"/>
        </w:trPr>
        <w:tc>
          <w:tcPr>
            <w:tcW w:w="3514" w:type="pct"/>
          </w:tcPr>
          <w:p w:rsidR="0020144B" w:rsidRPr="00E556A1" w:rsidRDefault="0020144B" w:rsidP="0046100D">
            <w:pPr>
              <w:spacing w:before="60" w:after="60" w:line="216" w:lineRule="auto"/>
              <w:jc w:val="both"/>
            </w:pPr>
            <w:r w:rsidRPr="0075223F">
              <w:t xml:space="preserve">Бюджетные кредиты, привлеченные в </w:t>
            </w:r>
            <w:r>
              <w:t>бюджет муниципального о</w:t>
            </w:r>
            <w:r>
              <w:t>б</w:t>
            </w:r>
            <w:r>
              <w:t xml:space="preserve">разования </w:t>
            </w:r>
            <w:r w:rsidRPr="0075223F">
              <w:t xml:space="preserve"> из </w:t>
            </w:r>
            <w:r>
              <w:t>областного</w:t>
            </w:r>
            <w:r w:rsidRPr="0075223F">
              <w:t xml:space="preserve"> бюджета</w:t>
            </w:r>
          </w:p>
        </w:tc>
        <w:tc>
          <w:tcPr>
            <w:tcW w:w="721" w:type="pct"/>
            <w:shd w:val="clear" w:color="auto" w:fill="auto"/>
          </w:tcPr>
          <w:p w:rsidR="0020144B" w:rsidRDefault="0020144B" w:rsidP="0046100D">
            <w:pPr>
              <w:spacing w:before="60" w:after="60"/>
              <w:ind w:left="-190"/>
              <w:jc w:val="right"/>
            </w:pPr>
            <w:r>
              <w:t>-21 433,4</w:t>
            </w:r>
          </w:p>
        </w:tc>
        <w:tc>
          <w:tcPr>
            <w:tcW w:w="765" w:type="pct"/>
          </w:tcPr>
          <w:p w:rsidR="0020144B" w:rsidRPr="00E556A1" w:rsidRDefault="0020144B" w:rsidP="0046100D">
            <w:pPr>
              <w:spacing w:before="60" w:after="60"/>
              <w:ind w:left="720"/>
              <w:jc w:val="right"/>
            </w:pPr>
          </w:p>
        </w:tc>
      </w:tr>
      <w:tr w:rsidR="0020144B" w:rsidRPr="00E556A1" w:rsidTr="0046100D">
        <w:trPr>
          <w:trHeight w:val="443"/>
        </w:trPr>
        <w:tc>
          <w:tcPr>
            <w:tcW w:w="3514" w:type="pct"/>
          </w:tcPr>
          <w:p w:rsidR="0020144B" w:rsidRPr="00E556A1" w:rsidRDefault="0020144B" w:rsidP="0046100D">
            <w:pPr>
              <w:spacing w:before="60" w:after="60" w:line="216" w:lineRule="auto"/>
              <w:jc w:val="both"/>
            </w:pPr>
            <w:r>
              <w:t>погашение</w:t>
            </w:r>
            <w:r w:rsidRPr="0075223F">
              <w:t xml:space="preserve"> бюджетных кредитов из </w:t>
            </w:r>
            <w:r>
              <w:t>областного</w:t>
            </w:r>
            <w:r w:rsidRPr="0075223F">
              <w:t xml:space="preserve"> бюджета для пог</w:t>
            </w:r>
            <w:r w:rsidRPr="0075223F">
              <w:t>а</w:t>
            </w:r>
            <w:r w:rsidRPr="0075223F">
              <w:t>шения долговых обязательств муниципального образования по р</w:t>
            </w:r>
            <w:r w:rsidRPr="0075223F">
              <w:t>ы</w:t>
            </w:r>
            <w:r w:rsidRPr="0075223F">
              <w:t>ночным заимствованиям</w:t>
            </w:r>
          </w:p>
        </w:tc>
        <w:tc>
          <w:tcPr>
            <w:tcW w:w="721" w:type="pct"/>
            <w:shd w:val="clear" w:color="auto" w:fill="auto"/>
          </w:tcPr>
          <w:p w:rsidR="0020144B" w:rsidRDefault="0020144B" w:rsidP="0046100D">
            <w:pPr>
              <w:spacing w:before="60" w:after="60"/>
              <w:ind w:left="-48"/>
              <w:jc w:val="right"/>
            </w:pPr>
            <w:r>
              <w:t>21 433,4</w:t>
            </w:r>
          </w:p>
        </w:tc>
        <w:tc>
          <w:tcPr>
            <w:tcW w:w="765" w:type="pct"/>
          </w:tcPr>
          <w:p w:rsidR="0020144B" w:rsidRPr="00E556A1" w:rsidRDefault="0020144B" w:rsidP="0046100D">
            <w:pPr>
              <w:spacing w:before="60" w:after="60"/>
              <w:ind w:left="720"/>
              <w:jc w:val="right"/>
            </w:pPr>
          </w:p>
        </w:tc>
      </w:tr>
    </w:tbl>
    <w:p w:rsidR="0020144B" w:rsidRPr="00E556A1" w:rsidRDefault="0020144B" w:rsidP="0020144B">
      <w:pPr>
        <w:jc w:val="both"/>
      </w:pP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2. Муниципальные внутренние заимствования</w:t>
      </w:r>
    </w:p>
    <w:p w:rsidR="0020144B" w:rsidRPr="004A6D08" w:rsidRDefault="0020144B" w:rsidP="0020144B">
      <w:pPr>
        <w:jc w:val="center"/>
        <w:rPr>
          <w:b/>
          <w:sz w:val="28"/>
          <w:szCs w:val="28"/>
        </w:rPr>
      </w:pPr>
      <w:r w:rsidRPr="004A6D08">
        <w:rPr>
          <w:b/>
          <w:sz w:val="28"/>
          <w:szCs w:val="28"/>
        </w:rPr>
        <w:t>Аксайского района на 202</w:t>
      </w:r>
      <w:r>
        <w:rPr>
          <w:b/>
          <w:sz w:val="28"/>
          <w:szCs w:val="28"/>
        </w:rPr>
        <w:t>6</w:t>
      </w:r>
      <w:r w:rsidRPr="004A6D0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4A6D08">
        <w:rPr>
          <w:b/>
          <w:sz w:val="28"/>
          <w:szCs w:val="28"/>
        </w:rPr>
        <w:t xml:space="preserve"> годы</w:t>
      </w:r>
    </w:p>
    <w:p w:rsidR="0020144B" w:rsidRPr="00E556A1" w:rsidRDefault="0020144B" w:rsidP="0020144B">
      <w:pPr>
        <w:spacing w:after="120"/>
        <w:jc w:val="right"/>
      </w:pPr>
      <w:r w:rsidRPr="00E556A1"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1511"/>
        <w:gridCol w:w="1471"/>
        <w:gridCol w:w="1409"/>
        <w:gridCol w:w="1470"/>
      </w:tblGrid>
      <w:tr w:rsidR="0020144B" w:rsidRPr="00E556A1" w:rsidTr="0046100D">
        <w:trPr>
          <w:trHeight w:val="325"/>
        </w:trPr>
        <w:tc>
          <w:tcPr>
            <w:tcW w:w="2188" w:type="pct"/>
            <w:vMerge w:val="restart"/>
            <w:vAlign w:val="center"/>
          </w:tcPr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 w:rsidRPr="00E556A1">
              <w:t>Вид заимствования</w:t>
            </w:r>
          </w:p>
        </w:tc>
        <w:tc>
          <w:tcPr>
            <w:tcW w:w="1431" w:type="pct"/>
            <w:gridSpan w:val="2"/>
            <w:vAlign w:val="center"/>
          </w:tcPr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 w:rsidRPr="00E556A1">
              <w:t>202</w:t>
            </w:r>
            <w:r>
              <w:t>6</w:t>
            </w:r>
            <w:r w:rsidRPr="00E556A1">
              <w:t xml:space="preserve"> год</w:t>
            </w:r>
          </w:p>
        </w:tc>
        <w:tc>
          <w:tcPr>
            <w:tcW w:w="1381" w:type="pct"/>
            <w:gridSpan w:val="2"/>
            <w:vAlign w:val="center"/>
          </w:tcPr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 w:rsidRPr="00E556A1">
              <w:t>202</w:t>
            </w:r>
            <w:r>
              <w:t xml:space="preserve">7 </w:t>
            </w:r>
            <w:r w:rsidRPr="00E556A1">
              <w:t>год</w:t>
            </w:r>
          </w:p>
        </w:tc>
      </w:tr>
      <w:tr w:rsidR="0020144B" w:rsidRPr="00E556A1" w:rsidTr="0046100D">
        <w:trPr>
          <w:trHeight w:val="429"/>
        </w:trPr>
        <w:tc>
          <w:tcPr>
            <w:tcW w:w="2188" w:type="pct"/>
            <w:vMerge/>
            <w:vAlign w:val="center"/>
          </w:tcPr>
          <w:p w:rsidR="0020144B" w:rsidRPr="00E556A1" w:rsidRDefault="0020144B" w:rsidP="0046100D">
            <w:pPr>
              <w:spacing w:before="60" w:after="60" w:line="216" w:lineRule="auto"/>
              <w:jc w:val="center"/>
            </w:pPr>
          </w:p>
        </w:tc>
        <w:tc>
          <w:tcPr>
            <w:tcW w:w="725" w:type="pct"/>
            <w:vAlign w:val="center"/>
          </w:tcPr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 w:rsidRPr="003A3893">
              <w:t>Сумма</w:t>
            </w:r>
          </w:p>
        </w:tc>
        <w:tc>
          <w:tcPr>
            <w:tcW w:w="706" w:type="pct"/>
          </w:tcPr>
          <w:p w:rsidR="0020144B" w:rsidRDefault="0020144B" w:rsidP="0046100D">
            <w:pPr>
              <w:spacing w:before="60" w:after="60"/>
              <w:jc w:val="center"/>
            </w:pPr>
            <w:r>
              <w:t xml:space="preserve">Предельные </w:t>
            </w:r>
          </w:p>
          <w:p w:rsidR="0020144B" w:rsidRDefault="0020144B" w:rsidP="0046100D">
            <w:pPr>
              <w:spacing w:before="60" w:after="60" w:line="216" w:lineRule="auto"/>
              <w:jc w:val="center"/>
            </w:pPr>
            <w:r>
              <w:t xml:space="preserve">сроки </w:t>
            </w:r>
          </w:p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>
              <w:t>погашения</w:t>
            </w:r>
          </w:p>
        </w:tc>
        <w:tc>
          <w:tcPr>
            <w:tcW w:w="676" w:type="pct"/>
            <w:vAlign w:val="center"/>
          </w:tcPr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 w:rsidRPr="003A3893">
              <w:t>Сумма</w:t>
            </w:r>
          </w:p>
        </w:tc>
        <w:tc>
          <w:tcPr>
            <w:tcW w:w="705" w:type="pct"/>
          </w:tcPr>
          <w:p w:rsidR="0020144B" w:rsidRDefault="0020144B" w:rsidP="0046100D">
            <w:pPr>
              <w:spacing w:before="60" w:after="60"/>
              <w:jc w:val="center"/>
            </w:pPr>
            <w:r>
              <w:t xml:space="preserve">Предельные </w:t>
            </w:r>
          </w:p>
          <w:p w:rsidR="0020144B" w:rsidRDefault="0020144B" w:rsidP="0046100D">
            <w:pPr>
              <w:spacing w:before="60" w:after="60" w:line="216" w:lineRule="auto"/>
              <w:jc w:val="center"/>
            </w:pPr>
            <w:r>
              <w:t xml:space="preserve">сроки </w:t>
            </w:r>
          </w:p>
          <w:p w:rsidR="0020144B" w:rsidRPr="00E556A1" w:rsidRDefault="0020144B" w:rsidP="0046100D">
            <w:pPr>
              <w:spacing w:before="60" w:after="60" w:line="216" w:lineRule="auto"/>
              <w:jc w:val="center"/>
            </w:pPr>
            <w:r>
              <w:t>погашения</w:t>
            </w:r>
          </w:p>
        </w:tc>
      </w:tr>
      <w:tr w:rsidR="0020144B" w:rsidRPr="003A3893" w:rsidTr="0046100D">
        <w:tc>
          <w:tcPr>
            <w:tcW w:w="2188" w:type="pct"/>
          </w:tcPr>
          <w:p w:rsidR="0020144B" w:rsidRPr="00E556A1" w:rsidRDefault="0020144B" w:rsidP="0046100D">
            <w:pPr>
              <w:spacing w:before="60" w:after="60" w:line="216" w:lineRule="auto"/>
              <w:jc w:val="both"/>
            </w:pPr>
            <w:r w:rsidRPr="0075223F">
              <w:t xml:space="preserve">Бюджетные кредиты, привлеченные в </w:t>
            </w:r>
            <w:r>
              <w:t xml:space="preserve">бюджет муниципального образования </w:t>
            </w:r>
            <w:r w:rsidRPr="0075223F">
              <w:t xml:space="preserve"> из </w:t>
            </w:r>
            <w:r>
              <w:t>областного</w:t>
            </w:r>
            <w:r w:rsidRPr="0075223F">
              <w:t xml:space="preserve"> бюджета</w:t>
            </w:r>
          </w:p>
        </w:tc>
        <w:tc>
          <w:tcPr>
            <w:tcW w:w="725" w:type="pct"/>
            <w:shd w:val="clear" w:color="auto" w:fill="auto"/>
          </w:tcPr>
          <w:p w:rsidR="0020144B" w:rsidRDefault="0020144B" w:rsidP="0046100D">
            <w:pPr>
              <w:spacing w:before="60" w:after="60" w:line="216" w:lineRule="auto"/>
              <w:jc w:val="right"/>
            </w:pPr>
            <w:r>
              <w:t>-21 433,3</w:t>
            </w:r>
          </w:p>
        </w:tc>
        <w:tc>
          <w:tcPr>
            <w:tcW w:w="706" w:type="pct"/>
          </w:tcPr>
          <w:p w:rsidR="0020144B" w:rsidRDefault="0020144B" w:rsidP="0046100D">
            <w:pPr>
              <w:spacing w:before="60" w:after="60" w:line="216" w:lineRule="auto"/>
              <w:jc w:val="right"/>
            </w:pPr>
          </w:p>
        </w:tc>
        <w:tc>
          <w:tcPr>
            <w:tcW w:w="676" w:type="pct"/>
          </w:tcPr>
          <w:p w:rsidR="0020144B" w:rsidRDefault="0020144B" w:rsidP="0046100D">
            <w:pPr>
              <w:spacing w:before="60" w:after="60" w:line="216" w:lineRule="auto"/>
              <w:jc w:val="right"/>
            </w:pPr>
            <w:r>
              <w:t>-21 433,3</w:t>
            </w:r>
          </w:p>
        </w:tc>
        <w:tc>
          <w:tcPr>
            <w:tcW w:w="705" w:type="pct"/>
          </w:tcPr>
          <w:p w:rsidR="0020144B" w:rsidRDefault="0020144B" w:rsidP="0046100D">
            <w:pPr>
              <w:spacing w:before="60" w:after="60" w:line="216" w:lineRule="auto"/>
              <w:jc w:val="right"/>
            </w:pPr>
          </w:p>
        </w:tc>
      </w:tr>
      <w:tr w:rsidR="0020144B" w:rsidRPr="003A3893" w:rsidTr="0046100D">
        <w:tc>
          <w:tcPr>
            <w:tcW w:w="2188" w:type="pct"/>
          </w:tcPr>
          <w:p w:rsidR="0020144B" w:rsidRPr="00E556A1" w:rsidRDefault="0020144B" w:rsidP="0046100D">
            <w:pPr>
              <w:spacing w:before="60" w:after="60" w:line="216" w:lineRule="auto"/>
              <w:jc w:val="both"/>
            </w:pPr>
            <w:r>
              <w:t>погашение</w:t>
            </w:r>
            <w:r w:rsidRPr="0075223F">
              <w:t xml:space="preserve"> бюджетных кредитов из </w:t>
            </w:r>
            <w:r>
              <w:t>обл</w:t>
            </w:r>
            <w:r>
              <w:t>а</w:t>
            </w:r>
            <w:r>
              <w:t>стного</w:t>
            </w:r>
            <w:r w:rsidRPr="0075223F">
              <w:t xml:space="preserve"> бюджета для погашения долговых обязательств муниципального образов</w:t>
            </w:r>
            <w:r w:rsidRPr="0075223F">
              <w:t>а</w:t>
            </w:r>
            <w:r w:rsidRPr="0075223F">
              <w:t>ния по рыночным заимствованиям</w:t>
            </w:r>
          </w:p>
        </w:tc>
        <w:tc>
          <w:tcPr>
            <w:tcW w:w="725" w:type="pct"/>
            <w:shd w:val="clear" w:color="auto" w:fill="auto"/>
          </w:tcPr>
          <w:p w:rsidR="0020144B" w:rsidRDefault="0020144B" w:rsidP="0046100D">
            <w:pPr>
              <w:spacing w:before="60" w:after="60" w:line="216" w:lineRule="auto"/>
              <w:jc w:val="right"/>
            </w:pPr>
            <w:r>
              <w:t>21 433,3</w:t>
            </w:r>
          </w:p>
        </w:tc>
        <w:tc>
          <w:tcPr>
            <w:tcW w:w="706" w:type="pct"/>
          </w:tcPr>
          <w:p w:rsidR="0020144B" w:rsidRDefault="0020144B" w:rsidP="0046100D">
            <w:pPr>
              <w:spacing w:before="60" w:after="60" w:line="216" w:lineRule="auto"/>
              <w:jc w:val="right"/>
            </w:pPr>
          </w:p>
        </w:tc>
        <w:tc>
          <w:tcPr>
            <w:tcW w:w="676" w:type="pct"/>
          </w:tcPr>
          <w:p w:rsidR="0020144B" w:rsidRDefault="0020144B" w:rsidP="0046100D">
            <w:pPr>
              <w:spacing w:before="60" w:after="60" w:line="216" w:lineRule="auto"/>
              <w:jc w:val="right"/>
            </w:pPr>
            <w:r>
              <w:t>21 433,3</w:t>
            </w:r>
          </w:p>
        </w:tc>
        <w:tc>
          <w:tcPr>
            <w:tcW w:w="705" w:type="pct"/>
          </w:tcPr>
          <w:p w:rsidR="0020144B" w:rsidRDefault="0020144B" w:rsidP="0046100D">
            <w:pPr>
              <w:spacing w:before="60" w:after="60" w:line="216" w:lineRule="auto"/>
              <w:jc w:val="right"/>
            </w:pPr>
          </w:p>
        </w:tc>
      </w:tr>
    </w:tbl>
    <w:p w:rsidR="003A3893" w:rsidRPr="003A3893" w:rsidRDefault="003A3893" w:rsidP="00EB28A0"/>
    <w:sectPr w:rsidR="003A3893" w:rsidRPr="003A3893" w:rsidSect="00CA2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862" w:rsidRDefault="006D6862">
      <w:r>
        <w:separator/>
      </w:r>
    </w:p>
  </w:endnote>
  <w:endnote w:type="continuationSeparator" w:id="0">
    <w:p w:rsidR="006D6862" w:rsidRDefault="006D6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13" w:rsidRDefault="00AA406D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6121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213" w:rsidRDefault="00F61213" w:rsidP="00FE254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13" w:rsidRDefault="00F6121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13" w:rsidRDefault="00F612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862" w:rsidRDefault="006D6862">
      <w:r>
        <w:separator/>
      </w:r>
    </w:p>
  </w:footnote>
  <w:footnote w:type="continuationSeparator" w:id="0">
    <w:p w:rsidR="006D6862" w:rsidRDefault="006D6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13" w:rsidRDefault="00AA406D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121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213" w:rsidRDefault="00F6121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13" w:rsidRDefault="00F61213">
    <w:pPr>
      <w:pStyle w:val="a4"/>
    </w:pPr>
  </w:p>
  <w:p w:rsidR="00F61213" w:rsidRDefault="00F6121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213" w:rsidRDefault="00F6121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4B65"/>
    <w:rsid w:val="00015A13"/>
    <w:rsid w:val="00023342"/>
    <w:rsid w:val="000240B4"/>
    <w:rsid w:val="00025817"/>
    <w:rsid w:val="00031F85"/>
    <w:rsid w:val="00041480"/>
    <w:rsid w:val="00043E5B"/>
    <w:rsid w:val="000527D3"/>
    <w:rsid w:val="000771A2"/>
    <w:rsid w:val="00082E2D"/>
    <w:rsid w:val="00086C8C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14CD7"/>
    <w:rsid w:val="001211C9"/>
    <w:rsid w:val="00135DF1"/>
    <w:rsid w:val="001362BF"/>
    <w:rsid w:val="00137A73"/>
    <w:rsid w:val="00141B13"/>
    <w:rsid w:val="00142B32"/>
    <w:rsid w:val="00145F55"/>
    <w:rsid w:val="00167A9A"/>
    <w:rsid w:val="00171EC8"/>
    <w:rsid w:val="00173A09"/>
    <w:rsid w:val="00173AA7"/>
    <w:rsid w:val="00182C25"/>
    <w:rsid w:val="001838CC"/>
    <w:rsid w:val="0018450F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12DE"/>
    <w:rsid w:val="001D5E0B"/>
    <w:rsid w:val="001D74C3"/>
    <w:rsid w:val="001E2CF9"/>
    <w:rsid w:val="001E34B9"/>
    <w:rsid w:val="001E38D4"/>
    <w:rsid w:val="001E400B"/>
    <w:rsid w:val="001E5363"/>
    <w:rsid w:val="001E5BAF"/>
    <w:rsid w:val="001E6D88"/>
    <w:rsid w:val="001F0325"/>
    <w:rsid w:val="001F20C5"/>
    <w:rsid w:val="001F5403"/>
    <w:rsid w:val="0020144B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2890"/>
    <w:rsid w:val="0026412E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D1C2C"/>
    <w:rsid w:val="002F1517"/>
    <w:rsid w:val="002F5BF4"/>
    <w:rsid w:val="00307444"/>
    <w:rsid w:val="00312263"/>
    <w:rsid w:val="00313574"/>
    <w:rsid w:val="0031564C"/>
    <w:rsid w:val="00320187"/>
    <w:rsid w:val="003221C6"/>
    <w:rsid w:val="00324033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8426D"/>
    <w:rsid w:val="00390793"/>
    <w:rsid w:val="00394F4B"/>
    <w:rsid w:val="003951D9"/>
    <w:rsid w:val="00397A87"/>
    <w:rsid w:val="003A15AC"/>
    <w:rsid w:val="003A3893"/>
    <w:rsid w:val="003B0140"/>
    <w:rsid w:val="003B4A10"/>
    <w:rsid w:val="003C1182"/>
    <w:rsid w:val="003C4F00"/>
    <w:rsid w:val="003D2701"/>
    <w:rsid w:val="003D4CD8"/>
    <w:rsid w:val="003D6A4A"/>
    <w:rsid w:val="003D7FA5"/>
    <w:rsid w:val="003E65EC"/>
    <w:rsid w:val="003E6657"/>
    <w:rsid w:val="003E6756"/>
    <w:rsid w:val="003E7DCE"/>
    <w:rsid w:val="003F3014"/>
    <w:rsid w:val="003F4968"/>
    <w:rsid w:val="003F66FC"/>
    <w:rsid w:val="003F6DEA"/>
    <w:rsid w:val="0040506D"/>
    <w:rsid w:val="004054F6"/>
    <w:rsid w:val="0040671F"/>
    <w:rsid w:val="0041631C"/>
    <w:rsid w:val="00422E83"/>
    <w:rsid w:val="00426D80"/>
    <w:rsid w:val="0043048F"/>
    <w:rsid w:val="00451DE1"/>
    <w:rsid w:val="00453EC4"/>
    <w:rsid w:val="00454A17"/>
    <w:rsid w:val="00455FE0"/>
    <w:rsid w:val="00457B85"/>
    <w:rsid w:val="0046100D"/>
    <w:rsid w:val="00474D55"/>
    <w:rsid w:val="004764E9"/>
    <w:rsid w:val="0048004E"/>
    <w:rsid w:val="0048431A"/>
    <w:rsid w:val="00487197"/>
    <w:rsid w:val="00494B01"/>
    <w:rsid w:val="00494D8E"/>
    <w:rsid w:val="004A06A9"/>
    <w:rsid w:val="004A2B0C"/>
    <w:rsid w:val="004A6D08"/>
    <w:rsid w:val="004A7356"/>
    <w:rsid w:val="004A7BAE"/>
    <w:rsid w:val="004B3D5B"/>
    <w:rsid w:val="004B4E90"/>
    <w:rsid w:val="004B541C"/>
    <w:rsid w:val="004C2D4F"/>
    <w:rsid w:val="004C66D9"/>
    <w:rsid w:val="004D33F6"/>
    <w:rsid w:val="004D3EA0"/>
    <w:rsid w:val="004D488D"/>
    <w:rsid w:val="004D5CF9"/>
    <w:rsid w:val="004D5FBE"/>
    <w:rsid w:val="004D675B"/>
    <w:rsid w:val="004E20D1"/>
    <w:rsid w:val="004E6CB0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5945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07D1"/>
    <w:rsid w:val="00647ABF"/>
    <w:rsid w:val="006544B4"/>
    <w:rsid w:val="006561D4"/>
    <w:rsid w:val="00657A39"/>
    <w:rsid w:val="00660E00"/>
    <w:rsid w:val="0066487E"/>
    <w:rsid w:val="00674C2C"/>
    <w:rsid w:val="00682F79"/>
    <w:rsid w:val="00684CE8"/>
    <w:rsid w:val="0068792D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D6862"/>
    <w:rsid w:val="006D75E9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141A4"/>
    <w:rsid w:val="007226D5"/>
    <w:rsid w:val="00723A3C"/>
    <w:rsid w:val="00734C7D"/>
    <w:rsid w:val="007370EF"/>
    <w:rsid w:val="00742496"/>
    <w:rsid w:val="00745130"/>
    <w:rsid w:val="00751546"/>
    <w:rsid w:val="0075223F"/>
    <w:rsid w:val="00757D12"/>
    <w:rsid w:val="0076111D"/>
    <w:rsid w:val="00771DE2"/>
    <w:rsid w:val="00773F53"/>
    <w:rsid w:val="00776AD5"/>
    <w:rsid w:val="007770B8"/>
    <w:rsid w:val="00780267"/>
    <w:rsid w:val="00780D9B"/>
    <w:rsid w:val="00793474"/>
    <w:rsid w:val="00797795"/>
    <w:rsid w:val="007A34DE"/>
    <w:rsid w:val="007B2CEA"/>
    <w:rsid w:val="007B4DEA"/>
    <w:rsid w:val="007B5320"/>
    <w:rsid w:val="007B64C4"/>
    <w:rsid w:val="007B7A3D"/>
    <w:rsid w:val="007C71C2"/>
    <w:rsid w:val="007D299F"/>
    <w:rsid w:val="007D2CC4"/>
    <w:rsid w:val="007D4656"/>
    <w:rsid w:val="007F5214"/>
    <w:rsid w:val="007F5FD3"/>
    <w:rsid w:val="00804D9C"/>
    <w:rsid w:val="00822B2A"/>
    <w:rsid w:val="00822C5C"/>
    <w:rsid w:val="0083141F"/>
    <w:rsid w:val="00836B18"/>
    <w:rsid w:val="00837DF1"/>
    <w:rsid w:val="00840E07"/>
    <w:rsid w:val="00841853"/>
    <w:rsid w:val="00847CB3"/>
    <w:rsid w:val="00851F8C"/>
    <w:rsid w:val="0085484C"/>
    <w:rsid w:val="00855F9F"/>
    <w:rsid w:val="008571D3"/>
    <w:rsid w:val="008666EC"/>
    <w:rsid w:val="00867C73"/>
    <w:rsid w:val="008703CD"/>
    <w:rsid w:val="00886867"/>
    <w:rsid w:val="00891FF5"/>
    <w:rsid w:val="00896161"/>
    <w:rsid w:val="008A6E69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28B4"/>
    <w:rsid w:val="00967355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B5364"/>
    <w:rsid w:val="009C35A3"/>
    <w:rsid w:val="009C6110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14C07"/>
    <w:rsid w:val="00A24FD7"/>
    <w:rsid w:val="00A256C0"/>
    <w:rsid w:val="00A3155D"/>
    <w:rsid w:val="00A3570C"/>
    <w:rsid w:val="00A4343C"/>
    <w:rsid w:val="00A44D02"/>
    <w:rsid w:val="00A52760"/>
    <w:rsid w:val="00A578B4"/>
    <w:rsid w:val="00A62CB9"/>
    <w:rsid w:val="00A666FF"/>
    <w:rsid w:val="00A735E1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53C6"/>
    <w:rsid w:val="00A95CA9"/>
    <w:rsid w:val="00A96678"/>
    <w:rsid w:val="00AA2789"/>
    <w:rsid w:val="00AA3166"/>
    <w:rsid w:val="00AA406D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7FBF"/>
    <w:rsid w:val="00B11739"/>
    <w:rsid w:val="00B12A75"/>
    <w:rsid w:val="00B12ADB"/>
    <w:rsid w:val="00B131AF"/>
    <w:rsid w:val="00B22302"/>
    <w:rsid w:val="00B24BAF"/>
    <w:rsid w:val="00B31EF6"/>
    <w:rsid w:val="00B34EE2"/>
    <w:rsid w:val="00B4198E"/>
    <w:rsid w:val="00B479E5"/>
    <w:rsid w:val="00B47CC3"/>
    <w:rsid w:val="00B55915"/>
    <w:rsid w:val="00B64F1B"/>
    <w:rsid w:val="00B656CA"/>
    <w:rsid w:val="00B73159"/>
    <w:rsid w:val="00B80909"/>
    <w:rsid w:val="00B8588A"/>
    <w:rsid w:val="00B96AD5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192D"/>
    <w:rsid w:val="00BE2733"/>
    <w:rsid w:val="00BE3EF5"/>
    <w:rsid w:val="00BF4A8A"/>
    <w:rsid w:val="00BF6C03"/>
    <w:rsid w:val="00C011C5"/>
    <w:rsid w:val="00C02D49"/>
    <w:rsid w:val="00C07CD5"/>
    <w:rsid w:val="00C10BC1"/>
    <w:rsid w:val="00C1298D"/>
    <w:rsid w:val="00C17085"/>
    <w:rsid w:val="00C21ABA"/>
    <w:rsid w:val="00C23549"/>
    <w:rsid w:val="00C237DE"/>
    <w:rsid w:val="00C23CCF"/>
    <w:rsid w:val="00C31145"/>
    <w:rsid w:val="00C3568E"/>
    <w:rsid w:val="00C430F8"/>
    <w:rsid w:val="00C6266D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F3BFA"/>
    <w:rsid w:val="00CF5E9A"/>
    <w:rsid w:val="00CF7334"/>
    <w:rsid w:val="00D0326A"/>
    <w:rsid w:val="00D03338"/>
    <w:rsid w:val="00D03A5E"/>
    <w:rsid w:val="00D10F14"/>
    <w:rsid w:val="00D1158E"/>
    <w:rsid w:val="00D116A8"/>
    <w:rsid w:val="00D12F00"/>
    <w:rsid w:val="00D23444"/>
    <w:rsid w:val="00D3104F"/>
    <w:rsid w:val="00D311AD"/>
    <w:rsid w:val="00D3340F"/>
    <w:rsid w:val="00D405D4"/>
    <w:rsid w:val="00D41079"/>
    <w:rsid w:val="00D43488"/>
    <w:rsid w:val="00D43FAF"/>
    <w:rsid w:val="00D54729"/>
    <w:rsid w:val="00D73CA6"/>
    <w:rsid w:val="00D82B1D"/>
    <w:rsid w:val="00D83D76"/>
    <w:rsid w:val="00D8553E"/>
    <w:rsid w:val="00D87881"/>
    <w:rsid w:val="00D920C1"/>
    <w:rsid w:val="00D927F2"/>
    <w:rsid w:val="00DA0FB4"/>
    <w:rsid w:val="00DA14A4"/>
    <w:rsid w:val="00DA1CB1"/>
    <w:rsid w:val="00DA4D04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103C8"/>
    <w:rsid w:val="00E21847"/>
    <w:rsid w:val="00E23A80"/>
    <w:rsid w:val="00E3276C"/>
    <w:rsid w:val="00E353B7"/>
    <w:rsid w:val="00E35C08"/>
    <w:rsid w:val="00E50C31"/>
    <w:rsid w:val="00E51EF2"/>
    <w:rsid w:val="00E556A1"/>
    <w:rsid w:val="00E56C67"/>
    <w:rsid w:val="00E62B90"/>
    <w:rsid w:val="00E6339B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361F"/>
    <w:rsid w:val="00EC5ABA"/>
    <w:rsid w:val="00EF3305"/>
    <w:rsid w:val="00EF3F28"/>
    <w:rsid w:val="00F011FF"/>
    <w:rsid w:val="00F02F6F"/>
    <w:rsid w:val="00F0691D"/>
    <w:rsid w:val="00F10C43"/>
    <w:rsid w:val="00F12A0A"/>
    <w:rsid w:val="00F14581"/>
    <w:rsid w:val="00F16A3A"/>
    <w:rsid w:val="00F26596"/>
    <w:rsid w:val="00F26AF8"/>
    <w:rsid w:val="00F32A23"/>
    <w:rsid w:val="00F33A63"/>
    <w:rsid w:val="00F42582"/>
    <w:rsid w:val="00F44128"/>
    <w:rsid w:val="00F44412"/>
    <w:rsid w:val="00F44DAA"/>
    <w:rsid w:val="00F50AF8"/>
    <w:rsid w:val="00F50B08"/>
    <w:rsid w:val="00F51918"/>
    <w:rsid w:val="00F520FB"/>
    <w:rsid w:val="00F6031C"/>
    <w:rsid w:val="00F61213"/>
    <w:rsid w:val="00F636E8"/>
    <w:rsid w:val="00F64442"/>
    <w:rsid w:val="00F71893"/>
    <w:rsid w:val="00F83496"/>
    <w:rsid w:val="00F8489C"/>
    <w:rsid w:val="00F93BE7"/>
    <w:rsid w:val="00F974B7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270"/>
    <w:rsid w:val="00FD1B09"/>
    <w:rsid w:val="00FD3820"/>
    <w:rsid w:val="00FD5EA7"/>
    <w:rsid w:val="00FD64E1"/>
    <w:rsid w:val="00FD687E"/>
    <w:rsid w:val="00FE1246"/>
    <w:rsid w:val="00FE2549"/>
    <w:rsid w:val="00FE2939"/>
    <w:rsid w:val="00FF26EF"/>
    <w:rsid w:val="00FF323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EFB32-2C71-44AC-8CD7-328221DDF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Бондарева</cp:lastModifiedBy>
  <cp:revision>2</cp:revision>
  <cp:lastPrinted>2024-10-30T05:46:00Z</cp:lastPrinted>
  <dcterms:created xsi:type="dcterms:W3CDTF">2024-10-31T08:24:00Z</dcterms:created>
  <dcterms:modified xsi:type="dcterms:W3CDTF">2024-10-31T08:24:00Z</dcterms:modified>
</cp:coreProperties>
</file>